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D09" w:rsidRDefault="00090D09" w:rsidP="00090D09">
      <w:pPr>
        <w:pStyle w:val="Header"/>
        <w:jc w:val="center"/>
        <w:rPr>
          <w:rFonts w:ascii="Times New Roman" w:hAnsi="Times New Roman"/>
          <w:b/>
          <w:sz w:val="36"/>
          <w:szCs w:val="36"/>
        </w:rPr>
      </w:pPr>
      <w:bookmarkStart w:id="0" w:name="_GoBack"/>
      <w:bookmarkEnd w:id="0"/>
      <w:r>
        <w:rPr>
          <w:rFonts w:ascii="Times New Roman" w:hAnsi="Times New Roman"/>
          <w:b/>
          <w:sz w:val="36"/>
          <w:szCs w:val="36"/>
        </w:rPr>
        <w:t>Griffith/Narrabundah Community Association Inc.</w:t>
      </w:r>
    </w:p>
    <w:p w:rsidR="00090D09" w:rsidRDefault="00090D09" w:rsidP="00090D09">
      <w:pPr>
        <w:pStyle w:val="Header"/>
        <w:jc w:val="center"/>
        <w:rPr>
          <w:rFonts w:ascii="Times New Roman" w:hAnsi="Times New Roman"/>
          <w:sz w:val="24"/>
          <w:szCs w:val="24"/>
        </w:rPr>
      </w:pPr>
      <w:r>
        <w:rPr>
          <w:rFonts w:ascii="Times New Roman" w:hAnsi="Times New Roman"/>
          <w:sz w:val="24"/>
          <w:szCs w:val="24"/>
        </w:rPr>
        <w:t>PO Box 4127    Manuka ACT 2603</w:t>
      </w:r>
    </w:p>
    <w:p w:rsidR="00090D09" w:rsidRDefault="00090D09" w:rsidP="00090D09">
      <w:pPr>
        <w:pStyle w:val="Header"/>
        <w:rPr>
          <w:rFonts w:ascii="Times New Roman" w:hAnsi="Times New Roman"/>
          <w:sz w:val="24"/>
          <w:szCs w:val="24"/>
        </w:rPr>
      </w:pPr>
      <w:r>
        <w:rPr>
          <w:rFonts w:ascii="Times New Roman" w:hAnsi="Times New Roman"/>
          <w:sz w:val="24"/>
          <w:szCs w:val="24"/>
        </w:rPr>
        <w:t>Website:  www.gnca.org.au                                                                 email: info@gnca.org.au</w:t>
      </w:r>
    </w:p>
    <w:p w:rsidR="00090D09" w:rsidRDefault="00090D09" w:rsidP="00090D09">
      <w:pPr>
        <w:pStyle w:val="Header"/>
        <w:rPr>
          <w:rFonts w:ascii="Times New Roman" w:hAnsi="Times New Roman"/>
        </w:rPr>
      </w:pPr>
      <w:r>
        <w:rPr>
          <w:noProof/>
          <w:lang w:eastAsia="en-AU"/>
        </w:rPr>
        <mc:AlternateContent>
          <mc:Choice Requires="wps">
            <w:drawing>
              <wp:anchor distT="4294967295" distB="4294967295" distL="114300" distR="114300" simplePos="0" relativeHeight="251658240" behindDoc="0" locked="0" layoutInCell="1" allowOverlap="1">
                <wp:simplePos x="0" y="0"/>
                <wp:positionH relativeFrom="column">
                  <wp:posOffset>19050</wp:posOffset>
                </wp:positionH>
                <wp:positionV relativeFrom="paragraph">
                  <wp:posOffset>86994</wp:posOffset>
                </wp:positionV>
                <wp:extent cx="569595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5pt;margin-top:6.85pt;width:448.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"/>
            </w:pict>
          </mc:Fallback>
        </mc:AlternateContent>
      </w:r>
    </w:p>
    <w:p w:rsidR="00FD7A9E" w:rsidRDefault="00FD7A9E"/>
    <w:p w:rsidR="00090D09" w:rsidRDefault="00090D09">
      <w:pPr>
        <w:rPr>
          <w:rFonts w:ascii="Times New Roman" w:hAnsi="Times New Roman"/>
          <w:sz w:val="24"/>
          <w:szCs w:val="24"/>
        </w:rPr>
      </w:pPr>
      <w:r>
        <w:rPr>
          <w:rFonts w:ascii="Times New Roman" w:hAnsi="Times New Roman"/>
          <w:sz w:val="24"/>
          <w:szCs w:val="24"/>
        </w:rPr>
        <w:t>Customer Services</w:t>
      </w:r>
    </w:p>
    <w:p w:rsidR="00090D09" w:rsidRDefault="00090D09">
      <w:pPr>
        <w:rPr>
          <w:rFonts w:ascii="Times New Roman" w:hAnsi="Times New Roman"/>
          <w:sz w:val="24"/>
          <w:szCs w:val="24"/>
        </w:rPr>
      </w:pPr>
      <w:r>
        <w:rPr>
          <w:rFonts w:ascii="Times New Roman" w:hAnsi="Times New Roman"/>
          <w:sz w:val="24"/>
          <w:szCs w:val="24"/>
        </w:rPr>
        <w:t>EASDD Customer Service Centre</w:t>
      </w:r>
    </w:p>
    <w:p w:rsidR="00090D09" w:rsidRDefault="00090D09">
      <w:pPr>
        <w:rPr>
          <w:rFonts w:ascii="Times New Roman" w:hAnsi="Times New Roman"/>
          <w:sz w:val="24"/>
          <w:szCs w:val="24"/>
        </w:rPr>
      </w:pPr>
      <w:r>
        <w:rPr>
          <w:rFonts w:ascii="Times New Roman" w:hAnsi="Times New Roman"/>
          <w:sz w:val="24"/>
          <w:szCs w:val="24"/>
        </w:rPr>
        <w:t>PO Box 365</w:t>
      </w:r>
    </w:p>
    <w:p w:rsidR="00090D09" w:rsidRDefault="00090D09">
      <w:pPr>
        <w:rPr>
          <w:rFonts w:ascii="Times New Roman" w:hAnsi="Times New Roman"/>
          <w:sz w:val="24"/>
          <w:szCs w:val="24"/>
        </w:rPr>
      </w:pPr>
      <w:r>
        <w:rPr>
          <w:rFonts w:ascii="Times New Roman" w:hAnsi="Times New Roman"/>
          <w:sz w:val="24"/>
          <w:szCs w:val="24"/>
        </w:rPr>
        <w:t>MITCHELL ACT 2911</w:t>
      </w:r>
    </w:p>
    <w:p w:rsidR="00090D09" w:rsidRDefault="00090D09">
      <w:pPr>
        <w:rPr>
          <w:rFonts w:ascii="Times New Roman" w:hAnsi="Times New Roman"/>
          <w:sz w:val="24"/>
          <w:szCs w:val="24"/>
        </w:rPr>
      </w:pPr>
    </w:p>
    <w:p w:rsidR="00090D09" w:rsidRDefault="001046EF">
      <w:pPr>
        <w:rPr>
          <w:rFonts w:ascii="Times New Roman" w:hAnsi="Times New Roman"/>
          <w:sz w:val="24"/>
          <w:szCs w:val="24"/>
        </w:rPr>
      </w:pPr>
      <w:hyperlink r:id="rId6" w:history="1">
        <w:r w:rsidR="00090D09" w:rsidRPr="003A58DC">
          <w:rPr>
            <w:rStyle w:val="Hyperlink"/>
            <w:rFonts w:ascii="Times New Roman" w:hAnsi="Times New Roman"/>
            <w:sz w:val="24"/>
            <w:szCs w:val="24"/>
          </w:rPr>
          <w:t>customerservices@act.gov.au</w:t>
        </w:r>
      </w:hyperlink>
    </w:p>
    <w:p w:rsidR="00090D09" w:rsidRDefault="00090D09">
      <w:pPr>
        <w:rPr>
          <w:rFonts w:ascii="Times New Roman" w:hAnsi="Times New Roman"/>
          <w:sz w:val="24"/>
          <w:szCs w:val="24"/>
        </w:rPr>
      </w:pPr>
    </w:p>
    <w:p w:rsidR="00090D09" w:rsidRDefault="00090D09">
      <w:pPr>
        <w:rPr>
          <w:rFonts w:ascii="Times New Roman" w:hAnsi="Times New Roman"/>
          <w:sz w:val="24"/>
          <w:szCs w:val="24"/>
        </w:rPr>
      </w:pPr>
    </w:p>
    <w:p w:rsidR="00090D09" w:rsidRDefault="00090D09">
      <w:pPr>
        <w:rPr>
          <w:rFonts w:ascii="Times New Roman" w:hAnsi="Times New Roman"/>
          <w:sz w:val="24"/>
          <w:szCs w:val="24"/>
        </w:rPr>
      </w:pPr>
      <w:r>
        <w:rPr>
          <w:rFonts w:ascii="Times New Roman" w:hAnsi="Times New Roman"/>
          <w:sz w:val="24"/>
          <w:szCs w:val="24"/>
        </w:rPr>
        <w:t>Dear Customer Services</w:t>
      </w:r>
    </w:p>
    <w:p w:rsidR="00090D09" w:rsidRDefault="00090D09">
      <w:pPr>
        <w:rPr>
          <w:rFonts w:ascii="Times New Roman" w:hAnsi="Times New Roman"/>
          <w:sz w:val="24"/>
          <w:szCs w:val="24"/>
        </w:rPr>
      </w:pPr>
    </w:p>
    <w:p w:rsidR="00090D09" w:rsidRPr="00090D09" w:rsidRDefault="00090D09">
      <w:pPr>
        <w:rPr>
          <w:rFonts w:ascii="Times New Roman" w:hAnsi="Times New Roman"/>
          <w:b/>
          <w:sz w:val="26"/>
          <w:szCs w:val="26"/>
        </w:rPr>
      </w:pPr>
      <w:r w:rsidRPr="00090D09">
        <w:rPr>
          <w:rFonts w:ascii="Times New Roman" w:hAnsi="Times New Roman"/>
          <w:b/>
          <w:sz w:val="26"/>
          <w:szCs w:val="26"/>
        </w:rPr>
        <w:t>Comments on DA 201324241: Proposed demolition of existing residence at 7 Lindsay Street, Griffith and construction of a two storey dual occupancy residence</w:t>
      </w:r>
    </w:p>
    <w:p w:rsidR="00090D09" w:rsidRDefault="00090D09">
      <w:pPr>
        <w:rPr>
          <w:rFonts w:ascii="Times New Roman" w:hAnsi="Times New Roman"/>
          <w:b/>
          <w:sz w:val="28"/>
          <w:szCs w:val="28"/>
        </w:rPr>
      </w:pPr>
    </w:p>
    <w:p w:rsidR="00090D09" w:rsidRDefault="00090D09">
      <w:pPr>
        <w:rPr>
          <w:rFonts w:ascii="Times New Roman" w:hAnsi="Times New Roman"/>
          <w:sz w:val="24"/>
          <w:szCs w:val="24"/>
        </w:rPr>
      </w:pPr>
      <w:r>
        <w:rPr>
          <w:rFonts w:ascii="Times New Roman" w:hAnsi="Times New Roman"/>
          <w:sz w:val="24"/>
          <w:szCs w:val="24"/>
        </w:rPr>
        <w:t>The Griffith Narrabundah Community Association is concerned that several aspects of the application do not comply with the Territory Plan’s Planning Rules.  Consequently, we recommend that this application not be approved until these factors have been addressed and the application complies with the Planning Rules.  We identify three main issues.</w:t>
      </w:r>
    </w:p>
    <w:p w:rsidR="00090D09" w:rsidRDefault="00090D09">
      <w:pPr>
        <w:rPr>
          <w:rFonts w:ascii="Times New Roman" w:hAnsi="Times New Roman"/>
          <w:sz w:val="24"/>
          <w:szCs w:val="24"/>
        </w:rPr>
      </w:pPr>
    </w:p>
    <w:p w:rsidR="00090D09" w:rsidRDefault="00090D09" w:rsidP="00090D09">
      <w:pPr>
        <w:pStyle w:val="ListParagraph"/>
        <w:numPr>
          <w:ilvl w:val="0"/>
          <w:numId w:val="1"/>
        </w:numPr>
        <w:rPr>
          <w:rFonts w:ascii="Times New Roman" w:hAnsi="Times New Roman"/>
          <w:b/>
          <w:i/>
          <w:sz w:val="24"/>
          <w:szCs w:val="24"/>
        </w:rPr>
      </w:pPr>
      <w:r w:rsidRPr="00090D09">
        <w:rPr>
          <w:rFonts w:ascii="Times New Roman" w:hAnsi="Times New Roman"/>
          <w:b/>
          <w:i/>
          <w:sz w:val="24"/>
          <w:szCs w:val="24"/>
        </w:rPr>
        <w:t xml:space="preserve">The plot ratio of the proposed development exceeds </w:t>
      </w:r>
      <w:r>
        <w:rPr>
          <w:rFonts w:ascii="Times New Roman" w:hAnsi="Times New Roman"/>
          <w:b/>
          <w:i/>
          <w:sz w:val="24"/>
          <w:szCs w:val="24"/>
        </w:rPr>
        <w:t xml:space="preserve">the </w:t>
      </w:r>
      <w:r w:rsidRPr="00090D09">
        <w:rPr>
          <w:rFonts w:ascii="Times New Roman" w:hAnsi="Times New Roman"/>
          <w:b/>
          <w:i/>
          <w:sz w:val="24"/>
          <w:szCs w:val="24"/>
        </w:rPr>
        <w:t>50</w:t>
      </w:r>
      <w:r>
        <w:rPr>
          <w:rFonts w:ascii="Times New Roman" w:hAnsi="Times New Roman"/>
          <w:b/>
          <w:i/>
          <w:sz w:val="24"/>
          <w:szCs w:val="24"/>
        </w:rPr>
        <w:t>%</w:t>
      </w:r>
      <w:r w:rsidRPr="00090D09">
        <w:rPr>
          <w:rFonts w:ascii="Times New Roman" w:hAnsi="Times New Roman"/>
          <w:b/>
          <w:i/>
          <w:sz w:val="24"/>
          <w:szCs w:val="24"/>
        </w:rPr>
        <w:t xml:space="preserve"> allowed under the planning rules.</w:t>
      </w:r>
    </w:p>
    <w:p w:rsidR="00090D09" w:rsidRDefault="00090D09" w:rsidP="00090D09">
      <w:pPr>
        <w:ind w:left="720"/>
        <w:rPr>
          <w:rFonts w:ascii="Times New Roman" w:hAnsi="Times New Roman"/>
          <w:sz w:val="24"/>
          <w:szCs w:val="24"/>
        </w:rPr>
      </w:pPr>
      <w:r>
        <w:rPr>
          <w:rFonts w:ascii="Times New Roman" w:hAnsi="Times New Roman"/>
          <w:sz w:val="24"/>
          <w:szCs w:val="24"/>
        </w:rPr>
        <w:t>The GFA of the upper two floors is approximately 428 m</w:t>
      </w:r>
      <w:r w:rsidRPr="00090D09">
        <w:rPr>
          <w:rFonts w:ascii="Times New Roman" w:hAnsi="Times New Roman"/>
          <w:sz w:val="24"/>
          <w:szCs w:val="24"/>
          <w:vertAlign w:val="superscript"/>
        </w:rPr>
        <w:t>2</w:t>
      </w:r>
      <w:r>
        <w:rPr>
          <w:rFonts w:ascii="Times New Roman" w:hAnsi="Times New Roman"/>
          <w:sz w:val="24"/>
          <w:szCs w:val="24"/>
        </w:rPr>
        <w:t xml:space="preserve"> (as measured from the plans) and the area of what is termed ‘basement’ is unknown, because its width is not shown on any of the plans, but it must be at least 125 m</w:t>
      </w:r>
      <w:r w:rsidRPr="00090D09">
        <w:rPr>
          <w:rFonts w:ascii="Times New Roman" w:hAnsi="Times New Roman"/>
          <w:sz w:val="24"/>
          <w:szCs w:val="24"/>
          <w:vertAlign w:val="superscript"/>
        </w:rPr>
        <w:t>2</w:t>
      </w:r>
      <w:r>
        <w:rPr>
          <w:rFonts w:ascii="Times New Roman" w:hAnsi="Times New Roman"/>
          <w:sz w:val="24"/>
          <w:szCs w:val="24"/>
        </w:rPr>
        <w:t xml:space="preserve"> to accommodate four vehicles.  Hence the plot ratio is at least 56%.  The problem is that what is termed ‘basement’ in the application does not comply with the definition of ‘basement’ in the Territory Plan, so the area of the so called ‘basement’ should be included in the plot ratio calculation (</w:t>
      </w:r>
      <w:r w:rsidRPr="00090D09">
        <w:rPr>
          <w:rFonts w:ascii="Times New Roman" w:hAnsi="Times New Roman"/>
          <w:i/>
          <w:sz w:val="24"/>
          <w:szCs w:val="24"/>
        </w:rPr>
        <w:t>see</w:t>
      </w:r>
      <w:r>
        <w:rPr>
          <w:rFonts w:ascii="Times New Roman" w:hAnsi="Times New Roman"/>
          <w:sz w:val="24"/>
          <w:szCs w:val="24"/>
        </w:rPr>
        <w:t xml:space="preserve"> plan A202 for location of the DGL).</w:t>
      </w:r>
    </w:p>
    <w:p w:rsidR="00090D09" w:rsidRPr="00090D09" w:rsidRDefault="00090D09" w:rsidP="00090D09">
      <w:pPr>
        <w:ind w:left="720"/>
        <w:rPr>
          <w:rFonts w:ascii="Times New Roman" w:hAnsi="Times New Roman"/>
          <w:sz w:val="24"/>
          <w:szCs w:val="24"/>
        </w:rPr>
      </w:pPr>
    </w:p>
    <w:p w:rsidR="00090D09" w:rsidRDefault="00090D09" w:rsidP="00090D09">
      <w:pPr>
        <w:pStyle w:val="ListParagraph"/>
        <w:numPr>
          <w:ilvl w:val="0"/>
          <w:numId w:val="1"/>
        </w:numPr>
        <w:rPr>
          <w:rFonts w:ascii="Times New Roman" w:hAnsi="Times New Roman"/>
          <w:b/>
          <w:i/>
          <w:sz w:val="24"/>
          <w:szCs w:val="24"/>
        </w:rPr>
      </w:pPr>
      <w:r w:rsidRPr="00090D09">
        <w:rPr>
          <w:rFonts w:ascii="Times New Roman" w:hAnsi="Times New Roman"/>
          <w:b/>
          <w:i/>
          <w:sz w:val="24"/>
          <w:szCs w:val="24"/>
        </w:rPr>
        <w:t>The building envelope is penetrated in several places (see plan A201) and the design should be modified so that it complies with the planning rules.</w:t>
      </w:r>
    </w:p>
    <w:p w:rsidR="00090D09" w:rsidRDefault="00090D09" w:rsidP="00090D09">
      <w:pPr>
        <w:rPr>
          <w:rFonts w:ascii="Times New Roman" w:hAnsi="Times New Roman"/>
          <w:b/>
          <w:i/>
          <w:sz w:val="24"/>
          <w:szCs w:val="24"/>
        </w:rPr>
      </w:pPr>
    </w:p>
    <w:p w:rsidR="00090D09" w:rsidRDefault="00090D09" w:rsidP="00090D09">
      <w:pPr>
        <w:pStyle w:val="ListParagraph"/>
        <w:numPr>
          <w:ilvl w:val="0"/>
          <w:numId w:val="1"/>
        </w:numPr>
        <w:rPr>
          <w:rFonts w:ascii="Times New Roman" w:hAnsi="Times New Roman"/>
          <w:b/>
          <w:i/>
          <w:sz w:val="24"/>
          <w:szCs w:val="24"/>
        </w:rPr>
      </w:pPr>
      <w:r>
        <w:rPr>
          <w:rFonts w:ascii="Times New Roman" w:hAnsi="Times New Roman"/>
          <w:b/>
          <w:i/>
          <w:sz w:val="24"/>
          <w:szCs w:val="24"/>
        </w:rPr>
        <w:t>The side and rear boundary setback rules are non-compliant because the so called ‘basement’ is not a basement as specified in the Territory Plan (see 1. above).</w:t>
      </w:r>
    </w:p>
    <w:p w:rsidR="00090D09" w:rsidRDefault="00090D09" w:rsidP="00090D09">
      <w:pPr>
        <w:pStyle w:val="ListParagraph"/>
        <w:rPr>
          <w:rFonts w:ascii="Times New Roman" w:hAnsi="Times New Roman"/>
          <w:b/>
          <w:i/>
          <w:sz w:val="24"/>
          <w:szCs w:val="24"/>
        </w:rPr>
      </w:pPr>
    </w:p>
    <w:p w:rsidR="00090D09" w:rsidRDefault="00090D09" w:rsidP="00090D09">
      <w:pPr>
        <w:pStyle w:val="ListParagraph"/>
        <w:ind w:left="0"/>
        <w:rPr>
          <w:rFonts w:ascii="Times New Roman" w:hAnsi="Times New Roman"/>
          <w:sz w:val="24"/>
          <w:szCs w:val="24"/>
        </w:rPr>
      </w:pPr>
      <w:r>
        <w:rPr>
          <w:rFonts w:ascii="Times New Roman" w:hAnsi="Times New Roman"/>
          <w:sz w:val="24"/>
          <w:szCs w:val="24"/>
        </w:rPr>
        <w:t xml:space="preserve">All these issues result because the so called ‘basement’ does not comply with the definition of ‘basement’ in the Territory Plan.  If the design is amended to ensure compliance on this issue </w:t>
      </w:r>
      <w:r w:rsidR="00F40B00">
        <w:rPr>
          <w:rFonts w:ascii="Times New Roman" w:hAnsi="Times New Roman"/>
          <w:sz w:val="24"/>
          <w:szCs w:val="24"/>
        </w:rPr>
        <w:t xml:space="preserve">the </w:t>
      </w:r>
      <w:r>
        <w:rPr>
          <w:rFonts w:ascii="Times New Roman" w:hAnsi="Times New Roman"/>
          <w:sz w:val="24"/>
          <w:szCs w:val="24"/>
        </w:rPr>
        <w:t>other factors should be dealt with automatically.</w:t>
      </w:r>
    </w:p>
    <w:p w:rsidR="00090D09" w:rsidRDefault="00090D09" w:rsidP="00090D09">
      <w:pPr>
        <w:pStyle w:val="ListParagraph"/>
        <w:ind w:left="0"/>
        <w:rPr>
          <w:rFonts w:ascii="Times New Roman" w:hAnsi="Times New Roman"/>
          <w:sz w:val="24"/>
          <w:szCs w:val="24"/>
        </w:rPr>
      </w:pPr>
    </w:p>
    <w:p w:rsidR="00090D09" w:rsidRDefault="00090D09" w:rsidP="00090D09">
      <w:pPr>
        <w:pStyle w:val="ListParagraph"/>
        <w:ind w:left="0"/>
        <w:rPr>
          <w:rFonts w:ascii="Times New Roman" w:hAnsi="Times New Roman"/>
          <w:sz w:val="24"/>
          <w:szCs w:val="24"/>
        </w:rPr>
      </w:pPr>
    </w:p>
    <w:p w:rsidR="00090D09" w:rsidRDefault="00090D09" w:rsidP="00090D09">
      <w:pPr>
        <w:pStyle w:val="ListParagraph"/>
        <w:ind w:left="0"/>
        <w:rPr>
          <w:rFonts w:ascii="Times New Roman" w:hAnsi="Times New Roman"/>
          <w:sz w:val="24"/>
          <w:szCs w:val="24"/>
        </w:rPr>
      </w:pPr>
    </w:p>
    <w:p w:rsidR="00090D09" w:rsidRDefault="00090D09" w:rsidP="00090D09">
      <w:pPr>
        <w:pStyle w:val="ListParagraph"/>
        <w:ind w:left="0"/>
        <w:rPr>
          <w:rFonts w:ascii="Times New Roman" w:hAnsi="Times New Roman"/>
          <w:sz w:val="24"/>
          <w:szCs w:val="24"/>
        </w:rPr>
      </w:pPr>
    </w:p>
    <w:p w:rsidR="00090D09" w:rsidRDefault="00090D09" w:rsidP="00090D09">
      <w:pPr>
        <w:pStyle w:val="ListParagraph"/>
        <w:ind w:left="0"/>
        <w:rPr>
          <w:rFonts w:ascii="Times New Roman" w:hAnsi="Times New Roman"/>
          <w:sz w:val="24"/>
          <w:szCs w:val="24"/>
        </w:rPr>
      </w:pPr>
      <w:r>
        <w:rPr>
          <w:rFonts w:ascii="Times New Roman" w:hAnsi="Times New Roman"/>
          <w:sz w:val="24"/>
          <w:szCs w:val="24"/>
        </w:rPr>
        <w:t>David Denham</w:t>
      </w:r>
    </w:p>
    <w:p w:rsidR="00090D09" w:rsidRPr="00090D09" w:rsidRDefault="00090D09" w:rsidP="00090D09">
      <w:pPr>
        <w:pStyle w:val="ListParagraph"/>
        <w:ind w:left="0"/>
        <w:rPr>
          <w:rFonts w:ascii="Times New Roman" w:hAnsi="Times New Roman"/>
          <w:sz w:val="24"/>
          <w:szCs w:val="24"/>
        </w:rPr>
      </w:pPr>
      <w:r>
        <w:rPr>
          <w:rFonts w:ascii="Times New Roman" w:hAnsi="Times New Roman"/>
          <w:sz w:val="24"/>
          <w:szCs w:val="24"/>
        </w:rPr>
        <w:t>President</w:t>
      </w:r>
    </w:p>
    <w:sectPr w:rsidR="00090D09" w:rsidRPr="00090D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94AA5"/>
    <w:multiLevelType w:val="hybridMultilevel"/>
    <w:tmpl w:val="2D0EF37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67C"/>
    <w:rsid w:val="00090D09"/>
    <w:rsid w:val="001046EF"/>
    <w:rsid w:val="0074367C"/>
    <w:rsid w:val="00F40B00"/>
    <w:rsid w:val="00FD7A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D09"/>
    <w:pPr>
      <w:spacing w:line="240" w:lineRule="auto"/>
    </w:pPr>
    <w:rPr>
      <w:rFonts w:asciiTheme="minorHAnsi" w:eastAsia="Times New Roman" w:hAnsiTheme="minorHAns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0D09"/>
    <w:pPr>
      <w:tabs>
        <w:tab w:val="center" w:pos="4513"/>
        <w:tab w:val="right" w:pos="9026"/>
      </w:tabs>
    </w:pPr>
  </w:style>
  <w:style w:type="character" w:customStyle="1" w:styleId="HeaderChar">
    <w:name w:val="Header Char"/>
    <w:basedOn w:val="DefaultParagraphFont"/>
    <w:link w:val="Header"/>
    <w:uiPriority w:val="99"/>
    <w:rsid w:val="00090D09"/>
    <w:rPr>
      <w:rFonts w:asciiTheme="minorHAnsi" w:eastAsia="Times New Roman" w:hAnsiTheme="minorHAnsi" w:cs="Times New Roman"/>
      <w:sz w:val="22"/>
    </w:rPr>
  </w:style>
  <w:style w:type="character" w:styleId="Hyperlink">
    <w:name w:val="Hyperlink"/>
    <w:basedOn w:val="DefaultParagraphFont"/>
    <w:uiPriority w:val="99"/>
    <w:unhideWhenUsed/>
    <w:rsid w:val="00090D09"/>
    <w:rPr>
      <w:color w:val="0000FF" w:themeColor="hyperlink"/>
      <w:u w:val="single"/>
    </w:rPr>
  </w:style>
  <w:style w:type="paragraph" w:styleId="ListParagraph">
    <w:name w:val="List Paragraph"/>
    <w:basedOn w:val="Normal"/>
    <w:uiPriority w:val="34"/>
    <w:qFormat/>
    <w:rsid w:val="00090D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D09"/>
    <w:pPr>
      <w:spacing w:line="240" w:lineRule="auto"/>
    </w:pPr>
    <w:rPr>
      <w:rFonts w:asciiTheme="minorHAnsi" w:eastAsia="Times New Roman" w:hAnsiTheme="minorHAns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0D09"/>
    <w:pPr>
      <w:tabs>
        <w:tab w:val="center" w:pos="4513"/>
        <w:tab w:val="right" w:pos="9026"/>
      </w:tabs>
    </w:pPr>
  </w:style>
  <w:style w:type="character" w:customStyle="1" w:styleId="HeaderChar">
    <w:name w:val="Header Char"/>
    <w:basedOn w:val="DefaultParagraphFont"/>
    <w:link w:val="Header"/>
    <w:uiPriority w:val="99"/>
    <w:rsid w:val="00090D09"/>
    <w:rPr>
      <w:rFonts w:asciiTheme="minorHAnsi" w:eastAsia="Times New Roman" w:hAnsiTheme="minorHAnsi" w:cs="Times New Roman"/>
      <w:sz w:val="22"/>
    </w:rPr>
  </w:style>
  <w:style w:type="character" w:styleId="Hyperlink">
    <w:name w:val="Hyperlink"/>
    <w:basedOn w:val="DefaultParagraphFont"/>
    <w:uiPriority w:val="99"/>
    <w:unhideWhenUsed/>
    <w:rsid w:val="00090D09"/>
    <w:rPr>
      <w:color w:val="0000FF" w:themeColor="hyperlink"/>
      <w:u w:val="single"/>
    </w:rPr>
  </w:style>
  <w:style w:type="paragraph" w:styleId="ListParagraph">
    <w:name w:val="List Paragraph"/>
    <w:basedOn w:val="Normal"/>
    <w:uiPriority w:val="34"/>
    <w:qFormat/>
    <w:rsid w:val="00090D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ustomerservices@act.gov.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John</cp:lastModifiedBy>
  <cp:revision>2</cp:revision>
  <dcterms:created xsi:type="dcterms:W3CDTF">2013-11-24T07:20:00Z</dcterms:created>
  <dcterms:modified xsi:type="dcterms:W3CDTF">2013-11-24T07:20:00Z</dcterms:modified>
</cp:coreProperties>
</file>